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napToGrid/>
        <w:spacing w:line="240" w:lineRule="auto"/>
        <w:ind w:left="0"/>
        <w:jc w:val="left"/>
        <w:outlineLvl w:val="9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240" w:lineRule="auto"/>
        <w:ind w:left="0"/>
        <w:jc w:val="center"/>
        <w:outlineLvl w:val="9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常用技术标准参考目录</w:t>
      </w:r>
    </w:p>
    <w:tbl>
      <w:tblPr>
        <w:tblStyle w:val="3"/>
        <w:tblpPr w:leftFromText="180" w:rightFromText="180" w:vertAnchor="text" w:horzAnchor="page" w:tblpX="1992" w:tblpY="1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5429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highlight w:val="none"/>
                <w:lang w:eastAsia="zh-CN"/>
              </w:rPr>
              <w:t>技术标准名称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highlight w:val="none"/>
                <w:lang w:eastAsia="zh-CN"/>
              </w:rPr>
              <w:t>技术标准编号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《头部防护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 xml:space="preserve"> 安全帽》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28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《安全色》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2893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bookmarkStart w:id="0" w:name="OLE_LINK1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3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《安全标志及其使用导则》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2894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4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《道路交通标志和标线 第1部分：总则》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5768.1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5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  <w:t>《</w:t>
            </w:r>
            <w:r>
              <w:rPr>
                <w:rFonts w:hint="eastAsia" w:ascii="仿宋_GB2312" w:eastAsia="仿宋_GB2312" w:cs="Times New Roman"/>
                <w:kern w:val="2"/>
                <w:sz w:val="32"/>
                <w:szCs w:val="32"/>
                <w:highlight w:val="none"/>
                <w:lang w:val="en" w:eastAsia="zh-CN" w:bidi="ar-SA"/>
              </w:rPr>
              <w:t>起</w:t>
            </w: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  <w:t>重机械安全规程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 xml:space="preserve"> 第1部分：总则》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 xml:space="preserve">GB 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6067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6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  <w:t>《安全带》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 xml:space="preserve">GB 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6095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7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《爆破安全规程》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6722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8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《缺氧危险作业安全规程》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8958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9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《消防安全标志 第1部分：标志》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13495.1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10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《常用化学危险品贮存通则》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15603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11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《消防安全标志设置要求》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15630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12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《建设工程施工现场供用电安全规范》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50194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13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《建筑边坡工程技术规范》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50330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14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《施工企业安全生产管理规范》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50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15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《建设工程施工现场消防安全技术规范》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50720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16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《建筑施工脚手架安全技术统一标准》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17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《施工脚手架通用规范》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 5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5023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18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《建筑防火通用规范》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eastAsia="zh-CN"/>
              </w:rPr>
              <w:t>GB 5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503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19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《工作场所职业病危害警示标识》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GBZ 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20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《职业健康监护技术规范》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GBZ 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21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《水工建筑物滑动模板施工技术规范》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22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《水利水电建设用缆索起重机技术条件》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SL 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23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《水工建筑物地下开挖工程施工规范》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24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《水利水电工程施工通用安全技术规程》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25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《水利水电工程土建施工安全技术规程》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《水利水电工程机电设备安装安全技术规程》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《水利水电工程施工作业人员安全操作规程》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2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《水利水电工程施工安全防护设施技术规范》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29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《水利水电工程施工安全管理导则》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SL 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《水利水电工程金属结构制作与安装安全技术规程》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SL/T 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542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i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"/>
              </w:rPr>
              <w:t>《</w:t>
            </w:r>
            <w:r>
              <w:rPr>
                <w:rFonts w:hint="eastAsia" w:ascii="仿宋_GB2312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"/>
              </w:rPr>
              <w:t>特种设备使用管理规则</w:t>
            </w:r>
            <w:r>
              <w:rPr>
                <w:rFonts w:hint="eastAsia" w:ascii="仿宋_GB2312" w:eastAsia="仿宋_GB2312" w:cs="Times New Roman"/>
                <w:b w:val="0"/>
                <w:i w:val="0"/>
                <w:caps w:val="0"/>
                <w:color w:val="auto"/>
                <w:spacing w:val="0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"/>
              </w:rPr>
              <w:t>》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 xml:space="preserve">TSG </w:t>
            </w:r>
            <w:r>
              <w:rPr>
                <w:rFonts w:hint="eastAsia" w:ascii="仿宋_GB2312" w:eastAsia="仿宋_GB2312" w:cs="Times New Roman"/>
                <w:sz w:val="32"/>
                <w:szCs w:val="32"/>
                <w:highlight w:val="none"/>
                <w:lang w:val="en-US" w:eastAsia="zh-CN"/>
              </w:rPr>
              <w:t>08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 w:bidi="ar-SA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F74F4"/>
    <w:rsid w:val="211F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2023-12-25T03:26:00Z</dcterms:created>
  <dc:creator>Chenshuai</dc:creator>
  <cp:lastModifiedBy>Chenshuai</cp:lastModifiedBy>
  <dcterms:modified xsi:type="dcterms:W3CDTF">2023-12-25T03:26:27Z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